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  <w:lang w:val="en-US" w:eastAsia="zh-CN"/>
        </w:rPr>
        <w:t>泰兴医院</w:t>
      </w:r>
      <w:r>
        <w:rPr>
          <w:rFonts w:hint="eastAsia" w:ascii="黑体" w:hAnsi="黑体" w:eastAsia="黑体"/>
          <w:sz w:val="52"/>
          <w:szCs w:val="52"/>
        </w:rPr>
        <w:t>电子招标投标交易平台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  <w:lang w:val="en-US" w:eastAsia="zh-CN"/>
        </w:rPr>
        <w:t>评标</w:t>
      </w:r>
      <w:r>
        <w:rPr>
          <w:rFonts w:hint="eastAsia" w:ascii="黑体" w:hAnsi="黑体" w:eastAsia="黑体"/>
          <w:sz w:val="52"/>
          <w:szCs w:val="52"/>
        </w:rPr>
        <w:t>专家操作手册</w:t>
      </w: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</w:pPr>
    </w:p>
    <w:p>
      <w:pPr>
        <w:pStyle w:val="20"/>
        <w:jc w:val="both"/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0"/>
          <w:lang w:val="zh-CN"/>
        </w:rPr>
        <w:id w:val="-52616876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0"/>
          <w:lang w:val="zh-CN"/>
        </w:rPr>
      </w:sdtEndPr>
      <w:sdtContent>
        <w:p>
          <w:pPr>
            <w:pStyle w:val="25"/>
            <w:jc w:val="center"/>
          </w:pPr>
          <w:r>
            <w:rPr>
              <w:lang w:val="zh-CN"/>
            </w:rPr>
            <w:t>目录</w:t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_Toc7186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系统登录【专家登录】</w:t>
          </w:r>
          <w:r>
            <w:tab/>
          </w:r>
          <w:r>
            <w:fldChar w:fldCharType="begin"/>
          </w:r>
          <w:r>
            <w:instrText xml:space="preserve"> PAGEREF _Toc7186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_Toc16075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一、评标</w:t>
          </w:r>
          <w:r>
            <w:tab/>
          </w:r>
          <w:r>
            <w:fldChar w:fldCharType="begin"/>
          </w:r>
          <w:r>
            <w:instrText xml:space="preserve"> PAGEREF _Toc16075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_Toc20586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1.1招标人代表进行核价</w:t>
          </w:r>
          <w:r>
            <w:tab/>
          </w:r>
          <w:r>
            <w:fldChar w:fldCharType="begin"/>
          </w:r>
          <w:r>
            <w:instrText xml:space="preserve"> PAGEREF _Toc20586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_Toc32094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</w:t>
          </w:r>
          <w:r>
            <w:t>2阅读</w:t>
          </w:r>
          <w:r>
            <w:rPr>
              <w:rFonts w:hint="eastAsia"/>
            </w:rPr>
            <w:t>承诺</w:t>
          </w:r>
          <w:r>
            <w:t>书</w:t>
          </w:r>
          <w:r>
            <w:tab/>
          </w:r>
          <w:r>
            <w:fldChar w:fldCharType="begin"/>
          </w:r>
          <w:r>
            <w:instrText xml:space="preserve"> PAGEREF _Toc32094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_Toc9084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</w:t>
          </w:r>
          <w:r>
            <w:t>3推荐组长</w:t>
          </w:r>
          <w:r>
            <w:tab/>
          </w:r>
          <w:r>
            <w:fldChar w:fldCharType="begin"/>
          </w:r>
          <w:r>
            <w:instrText xml:space="preserve"> PAGEREF _Toc9084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_Toc29411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</w:t>
          </w:r>
          <w:r>
            <w:t>4签到</w:t>
          </w:r>
          <w:r>
            <w:tab/>
          </w:r>
          <w:r>
            <w:fldChar w:fldCharType="begin"/>
          </w:r>
          <w:r>
            <w:instrText xml:space="preserve"> PAGEREF _Toc29411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_Toc9562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1.5评标</w:t>
          </w:r>
          <w:r>
            <w:tab/>
          </w:r>
          <w:r>
            <w:fldChar w:fldCharType="begin"/>
          </w:r>
          <w:r>
            <w:instrText xml:space="preserve"> PAGEREF _Toc9562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_Toc14878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</w:t>
          </w:r>
          <w:r>
            <w:t>5.1</w:t>
          </w:r>
          <w:r>
            <w:rPr>
              <w:rFonts w:hint="eastAsia"/>
            </w:rPr>
            <w:t>符合性</w:t>
          </w:r>
          <w:r>
            <w:tab/>
          </w:r>
          <w:r>
            <w:fldChar w:fldCharType="begin"/>
          </w:r>
          <w:r>
            <w:instrText xml:space="preserve"> PAGEREF _Toc14878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_Toc3278 </w:instrText>
          </w:r>
          <w:r>
            <w:rPr>
              <w:bCs/>
              <w:lang w:val="zh-CN"/>
            </w:rPr>
            <w:fldChar w:fldCharType="separate"/>
          </w:r>
          <w:r>
            <w:t>1.5.2评分</w:t>
          </w:r>
          <w:r>
            <w:tab/>
          </w:r>
          <w:r>
            <w:fldChar w:fldCharType="begin"/>
          </w:r>
          <w:r>
            <w:instrText xml:space="preserve"> PAGEREF _Toc3278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_Toc24952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.5.3查看评委评审情况</w:t>
          </w:r>
          <w:r>
            <w:tab/>
          </w:r>
          <w:r>
            <w:fldChar w:fldCharType="begin"/>
          </w:r>
          <w:r>
            <w:instrText xml:space="preserve"> PAGEREF _Toc24952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_Toc15929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.6回退申请</w:t>
          </w:r>
          <w:r>
            <w:tab/>
          </w:r>
          <w:r>
            <w:fldChar w:fldCharType="begin"/>
          </w:r>
          <w:r>
            <w:instrText xml:space="preserve"> PAGEREF _Toc15929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_Toc5358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.7组长汇总</w:t>
          </w:r>
          <w:r>
            <w:tab/>
          </w:r>
          <w:r>
            <w:fldChar w:fldCharType="begin"/>
          </w:r>
          <w:r>
            <w:instrText xml:space="preserve"> PAGEREF _Toc5358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_Toc4696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.7.1符合性</w:t>
          </w:r>
          <w:r>
            <w:tab/>
          </w:r>
          <w:r>
            <w:fldChar w:fldCharType="begin"/>
          </w:r>
          <w:r>
            <w:instrText xml:space="preserve"> PAGEREF _Toc4696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_Toc31787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.7.2评分</w:t>
          </w:r>
          <w:r>
            <w:tab/>
          </w:r>
          <w:r>
            <w:fldChar w:fldCharType="begin"/>
          </w:r>
          <w:r>
            <w:instrText xml:space="preserve"> PAGEREF _Toc31787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_Toc9324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.8组长设置评标基准价</w:t>
          </w:r>
          <w:r>
            <w:tab/>
          </w:r>
          <w:r>
            <w:fldChar w:fldCharType="begin"/>
          </w:r>
          <w:r>
            <w:instrText xml:space="preserve"> PAGEREF _Toc9324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_Toc5804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.9组长汇总价格得分</w:t>
          </w:r>
          <w:r>
            <w:tab/>
          </w:r>
          <w:r>
            <w:fldChar w:fldCharType="begin"/>
          </w:r>
          <w:r>
            <w:instrText xml:space="preserve"> PAGEREF _Toc5804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_Toc27216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.10组长汇总评标结果</w:t>
          </w:r>
          <w:r>
            <w:tab/>
          </w:r>
          <w:r>
            <w:fldChar w:fldCharType="begin"/>
          </w:r>
          <w:r>
            <w:instrText xml:space="preserve"> PAGEREF _Toc27216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_Toc28138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.11组长导出并上传评标表格</w:t>
          </w:r>
          <w:r>
            <w:tab/>
          </w:r>
          <w:r>
            <w:fldChar w:fldCharType="begin"/>
          </w:r>
          <w:r>
            <w:instrText xml:space="preserve"> PAGEREF _Toc28138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_Toc11900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.12组长导出并上传评标报告</w:t>
          </w:r>
          <w:r>
            <w:tab/>
          </w:r>
          <w:r>
            <w:fldChar w:fldCharType="begin"/>
          </w:r>
          <w:r>
            <w:instrText xml:space="preserve"> PAGEREF _Toc11900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_Toc30164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.13组长</w:t>
          </w:r>
          <w:r>
            <w:rPr>
              <w:rFonts w:hint="eastAsia"/>
            </w:rPr>
            <w:t>上传专家签名后的文件</w:t>
          </w:r>
          <w:r>
            <w:tab/>
          </w:r>
          <w:r>
            <w:fldChar w:fldCharType="begin"/>
          </w:r>
          <w:r>
            <w:instrText xml:space="preserve"> PAGEREF _Toc30164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.14组长点击评标结束</w:t>
          </w:r>
          <w:r>
            <w:tab/>
          </w:r>
          <w:r>
            <w:fldChar w:fldCharType="begin"/>
          </w:r>
          <w:r>
            <w:instrText xml:space="preserve"> PAGEREF _Toc790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974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_Toc30242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.15</w:t>
          </w:r>
          <w:r>
            <w:rPr>
              <w:rFonts w:hint="eastAsia"/>
            </w:rPr>
            <w:t>磋商、谈判评标流程</w:t>
          </w:r>
          <w:r>
            <w:tab/>
          </w:r>
          <w:r>
            <w:fldChar w:fldCharType="begin"/>
          </w:r>
          <w:r>
            <w:instrText xml:space="preserve"> PAGEREF _Toc30242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0"/>
      </w:pPr>
    </w:p>
    <w:p/>
    <w:p/>
    <w:p/>
    <w:p>
      <w:pPr>
        <w:tabs>
          <w:tab w:val="center" w:pos="4873"/>
        </w:tabs>
        <w:sectPr>
          <w:headerReference r:id="rId3" w:type="first"/>
          <w:footerReference r:id="rId5" w:type="first"/>
          <w:footerReference r:id="rId4" w:type="default"/>
          <w:pgSz w:w="11907" w:h="16840"/>
          <w:pgMar w:top="1440" w:right="1080" w:bottom="1440" w:left="1080" w:header="851" w:footer="850" w:gutter="0"/>
          <w:pgNumType w:fmt="upperRoman" w:start="1"/>
          <w:cols w:space="720" w:num="1"/>
          <w:titlePg/>
          <w:docGrid w:linePitch="312" w:charSpace="0"/>
        </w:sectPr>
      </w:pPr>
      <w:r>
        <w:tab/>
      </w:r>
      <w:bookmarkStart w:id="22" w:name="_GoBack"/>
      <w:bookmarkEnd w:id="22"/>
    </w:p>
    <w:p>
      <w:pPr>
        <w:pStyle w:val="2"/>
      </w:pPr>
      <w:bookmarkStart w:id="0" w:name="_Toc7186"/>
      <w:r>
        <w:rPr>
          <w:rFonts w:hint="eastAsia"/>
        </w:rPr>
        <w:t>系统登录【专家登录】</w:t>
      </w:r>
      <w:bookmarkEnd w:id="0"/>
    </w:p>
    <w:p>
      <w:pPr>
        <w:pStyle w:val="21"/>
        <w:numPr>
          <w:ilvl w:val="0"/>
          <w:numId w:val="1"/>
        </w:numPr>
        <w:ind w:firstLineChars="0"/>
      </w:pPr>
      <w:r>
        <w:rPr>
          <w:rFonts w:hint="eastAsia"/>
        </w:rPr>
        <w:t>平台地址：http://zbcg.jstxry.com:3002/#/login</w:t>
      </w:r>
    </w:p>
    <w:p>
      <w:pPr>
        <w:pStyle w:val="21"/>
        <w:numPr>
          <w:ilvl w:val="0"/>
          <w:numId w:val="1"/>
        </w:numPr>
        <w:ind w:firstLineChars="0"/>
      </w:pPr>
      <w:r>
        <w:t>登录方式</w:t>
      </w:r>
      <w:r>
        <w:rPr>
          <w:rFonts w:hint="eastAsia"/>
        </w:rPr>
        <w:t>：</w:t>
      </w:r>
    </w:p>
    <w:p>
      <w:pPr>
        <w:pStyle w:val="21"/>
        <w:numPr>
          <w:ilvl w:val="1"/>
          <w:numId w:val="1"/>
        </w:numPr>
        <w:ind w:firstLineChars="0"/>
      </w:pPr>
      <w:r>
        <w:rPr>
          <w:rFonts w:hint="eastAsia"/>
        </w:rPr>
        <w:t>使用谷歌/火狐/360 极速模式浏览器登录（非 IE 内核）；</w:t>
      </w:r>
    </w:p>
    <w:p>
      <w:r>
        <w:drawing>
          <wp:inline distT="0" distB="0" distL="114300" distR="114300">
            <wp:extent cx="5269865" cy="2504440"/>
            <wp:effectExtent l="0" t="0" r="317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</w:pPr>
      <w:bookmarkStart w:id="1" w:name="_Toc16075"/>
      <w:r>
        <w:rPr>
          <w:rFonts w:hint="eastAsia"/>
        </w:rPr>
        <w:t>一、评标</w:t>
      </w:r>
      <w:bookmarkEnd w:id="1"/>
    </w:p>
    <w:p>
      <w:pPr>
        <w:pStyle w:val="3"/>
      </w:pPr>
      <w:bookmarkStart w:id="2" w:name="_Toc20586"/>
      <w:r>
        <w:rPr>
          <w:rFonts w:hint="eastAsia"/>
        </w:rPr>
        <w:t>1.1招标人代表进行核价</w:t>
      </w:r>
      <w:bookmarkEnd w:id="2"/>
    </w:p>
    <w:p>
      <w:pPr>
        <w:ind w:firstLine="420"/>
      </w:pPr>
      <w:r>
        <w:rPr>
          <w:rFonts w:hint="eastAsia"/>
        </w:rPr>
        <w:t>招标人代表登录系统后，可查看投标文件对投标企业的投标报价进行核价。核价后，将对评标结果产生影响。</w:t>
      </w:r>
    </w:p>
    <w:p>
      <w:r>
        <w:drawing>
          <wp:inline distT="0" distB="0" distL="114300" distR="114300">
            <wp:extent cx="5264150" cy="2581275"/>
            <wp:effectExtent l="0" t="0" r="889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56510"/>
            <wp:effectExtent l="0" t="0" r="635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3" w:name="_Toc32094"/>
      <w:r>
        <w:rPr>
          <w:rFonts w:hint="eastAsia"/>
        </w:rPr>
        <w:t>1.</w:t>
      </w:r>
      <w:r>
        <w:t>2阅读</w:t>
      </w:r>
      <w:r>
        <w:rPr>
          <w:rFonts w:hint="eastAsia"/>
        </w:rPr>
        <w:t>承诺</w:t>
      </w:r>
      <w:r>
        <w:t>书</w:t>
      </w:r>
      <w:bookmarkEnd w:id="3"/>
    </w:p>
    <w:p>
      <w:r>
        <w:rPr>
          <w:rFonts w:hint="eastAsia"/>
        </w:rPr>
        <w:t>1、专家登录系统后，点击【进入评标室】，阅读承诺书后，点击【同意】，进入评标大厅。</w:t>
      </w:r>
    </w:p>
    <w:p>
      <w:r>
        <w:drawing>
          <wp:inline distT="0" distB="0" distL="114300" distR="114300">
            <wp:extent cx="5262880" cy="2427605"/>
            <wp:effectExtent l="0" t="0" r="1016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4" w:name="_Toc9084"/>
      <w:r>
        <w:rPr>
          <w:rFonts w:hint="eastAsia"/>
        </w:rPr>
        <w:t>1.</w:t>
      </w:r>
      <w:r>
        <w:t>3推荐组长</w:t>
      </w:r>
      <w:bookmarkEnd w:id="4"/>
    </w:p>
    <w:p>
      <w:r>
        <w:rPr>
          <w:rFonts w:hint="eastAsia"/>
        </w:rPr>
        <w:t>1、选择评标组长，点击【确定】。</w:t>
      </w:r>
    </w:p>
    <w:p>
      <w:r>
        <w:drawing>
          <wp:inline distT="0" distB="0" distL="114300" distR="114300">
            <wp:extent cx="5264150" cy="2562225"/>
            <wp:effectExtent l="0" t="0" r="889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29411"/>
      <w:r>
        <w:rPr>
          <w:rFonts w:hint="eastAsia"/>
        </w:rPr>
        <w:t>1.</w:t>
      </w:r>
      <w:r>
        <w:t>4签到</w:t>
      </w:r>
      <w:bookmarkEnd w:id="5"/>
    </w:p>
    <w:p>
      <w:r>
        <w:rPr>
          <w:rFonts w:hint="eastAsia"/>
        </w:rPr>
        <w:t>1、等待生成专家组长后，点击【签到】，签到成功后，即可评标。如还有专家未推选组长，点击签到系统会给出提示。</w:t>
      </w:r>
    </w:p>
    <w:p>
      <w:r>
        <w:drawing>
          <wp:inline distT="0" distB="0" distL="114300" distR="114300">
            <wp:extent cx="5266690" cy="2600325"/>
            <wp:effectExtent l="0" t="0" r="6350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eastAsia"/>
        </w:rPr>
      </w:pPr>
      <w:bookmarkStart w:id="6" w:name="_Toc9562"/>
      <w:r>
        <w:rPr>
          <w:rFonts w:hint="eastAsia"/>
        </w:rPr>
        <w:t>1.5评标</w:t>
      </w:r>
      <w:bookmarkEnd w:id="6"/>
    </w:p>
    <w:p>
      <w:pPr>
        <w:pStyle w:val="4"/>
        <w:ind w:firstLine="420" w:firstLineChars="0"/>
      </w:pPr>
      <w:bookmarkStart w:id="7" w:name="_Toc14878"/>
      <w:r>
        <w:rPr>
          <w:rFonts w:hint="eastAsia"/>
        </w:rPr>
        <w:t>1.</w:t>
      </w:r>
      <w:r>
        <w:t>5.1</w:t>
      </w:r>
      <w:r>
        <w:rPr>
          <w:rFonts w:hint="eastAsia"/>
        </w:rPr>
        <w:t>符合性</w:t>
      </w:r>
      <w:bookmarkEnd w:id="7"/>
    </w:p>
    <w:p>
      <w:r>
        <w:t>点击评标</w:t>
      </w:r>
      <w:r>
        <w:rPr>
          <w:rFonts w:hint="eastAsia"/>
        </w:rPr>
        <w:t>，</w:t>
      </w:r>
      <w:r>
        <w:t>根据投标文件中的信息</w:t>
      </w:r>
      <w:r>
        <w:rPr>
          <w:rFonts w:hint="eastAsia"/>
        </w:rPr>
        <w:t>，对投标企业进行符合性评标，点击【保存】，点击【提交】。</w:t>
      </w:r>
    </w:p>
    <w:p>
      <w:r>
        <w:drawing>
          <wp:inline distT="0" distB="0" distL="114300" distR="114300">
            <wp:extent cx="5266690" cy="2603500"/>
            <wp:effectExtent l="0" t="0" r="6350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提交后如需修改，请点击【回退申请】，由评标组长进行审核，审核通过后，可以新建修改。</w:t>
      </w:r>
    </w:p>
    <w:p>
      <w:r>
        <w:drawing>
          <wp:inline distT="0" distB="0" distL="114300" distR="114300">
            <wp:extent cx="5266690" cy="2543175"/>
            <wp:effectExtent l="0" t="0" r="6350" b="19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 w:firstLineChars="0"/>
      </w:pPr>
      <w:bookmarkStart w:id="8" w:name="_Toc3278"/>
      <w:r>
        <w:t>1.5.2评分</w:t>
      </w:r>
      <w:bookmarkEnd w:id="8"/>
    </w:p>
    <w:p>
      <w:pPr>
        <w:ind w:firstLine="420"/>
      </w:pPr>
      <w:r>
        <w:t>点击评标</w:t>
      </w:r>
      <w:r>
        <w:rPr>
          <w:rFonts w:hint="eastAsia"/>
        </w:rPr>
        <w:t>，</w:t>
      </w:r>
      <w:r>
        <w:t>根据投标文件中的信息</w:t>
      </w:r>
      <w:r>
        <w:rPr>
          <w:rFonts w:hint="eastAsia"/>
        </w:rPr>
        <w:t>，对投标企业进行评分评标，点击【保存】，点击【提交】</w:t>
      </w:r>
    </w:p>
    <w:p>
      <w:r>
        <w:drawing>
          <wp:inline distT="0" distB="0" distL="114300" distR="114300">
            <wp:extent cx="5266690" cy="2589530"/>
            <wp:effectExtent l="0" t="0" r="635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 w:firstLineChars="0"/>
      </w:pPr>
      <w:bookmarkStart w:id="9" w:name="_Toc24952"/>
      <w:r>
        <w:rPr>
          <w:rFonts w:hint="eastAsia"/>
        </w:rPr>
        <w:t>1</w:t>
      </w:r>
      <w:r>
        <w:t>.5.3查看评委评审情况</w:t>
      </w:r>
      <w:bookmarkEnd w:id="9"/>
    </w:p>
    <w:p>
      <w:pPr>
        <w:ind w:firstLine="420"/>
      </w:pPr>
      <w:r>
        <w:rPr>
          <w:rFonts w:hint="eastAsia"/>
          <w:lang w:val="en-US" w:eastAsia="zh-CN"/>
        </w:rPr>
        <w:t>评标专家组长</w:t>
      </w:r>
      <w:r>
        <w:t>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查看</w:t>
      </w:r>
      <w:r>
        <w:t>评</w:t>
      </w:r>
      <w:r>
        <w:rPr>
          <w:rFonts w:hint="eastAsia"/>
        </w:rPr>
        <w:t>审</w:t>
      </w:r>
      <w:r>
        <w:t>情况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</w:t>
      </w:r>
      <w:r>
        <w:t>可查看当前评标步骤专家的评审情况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690" cy="2597785"/>
            <wp:effectExtent l="0" t="0" r="6350" b="825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5929"/>
      <w:r>
        <w:rPr>
          <w:rFonts w:hint="eastAsia"/>
        </w:rPr>
        <w:t>1</w:t>
      </w:r>
      <w:r>
        <w:t>.6回退申请</w:t>
      </w:r>
      <w:bookmarkEnd w:id="10"/>
    </w:p>
    <w:p>
      <w:r>
        <w:rPr>
          <w:rFonts w:hint="eastAsia"/>
        </w:rPr>
        <w:t>1、</w:t>
      </w:r>
      <w:r>
        <w:t>专家提交评标信息后</w:t>
      </w:r>
      <w:r>
        <w:rPr>
          <w:rFonts w:hint="eastAsia"/>
        </w:rPr>
        <w:t>，</w:t>
      </w:r>
      <w:r>
        <w:t>可通过点击</w:t>
      </w:r>
      <w:r>
        <w:rPr>
          <w:rFonts w:hint="eastAsia"/>
        </w:rPr>
        <w:t>【回退申请】，重新修改评标信息。</w:t>
      </w:r>
    </w:p>
    <w:p>
      <w:r>
        <w:drawing>
          <wp:inline distT="0" distB="0" distL="114300" distR="114300">
            <wp:extent cx="5266690" cy="2573020"/>
            <wp:effectExtent l="0" t="0" r="6350" b="254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</w:t>
      </w:r>
      <w:r>
        <w:t>专家组长审核通过后</w:t>
      </w:r>
      <w:r>
        <w:rPr>
          <w:rFonts w:hint="eastAsia"/>
        </w:rPr>
        <w:t>，</w:t>
      </w:r>
      <w:r>
        <w:t>可重新修改评标信息</w:t>
      </w:r>
      <w:r>
        <w:rPr>
          <w:rFonts w:hint="eastAsia"/>
        </w:rPr>
        <w:t>，若组长审核不通过则不可修改评标信息。</w:t>
      </w:r>
    </w:p>
    <w:p>
      <w:r>
        <w:drawing>
          <wp:inline distT="0" distB="0" distL="114300" distR="114300">
            <wp:extent cx="5266690" cy="2315210"/>
            <wp:effectExtent l="0" t="0" r="6350" b="12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193800"/>
            <wp:effectExtent l="0" t="0" r="2540" b="1016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5358"/>
      <w:r>
        <w:rPr>
          <w:rFonts w:hint="eastAsia"/>
        </w:rPr>
        <w:t>1</w:t>
      </w:r>
      <w:r>
        <w:t>.7组长汇总</w:t>
      </w:r>
      <w:bookmarkEnd w:id="11"/>
    </w:p>
    <w:p>
      <w:pPr>
        <w:pStyle w:val="4"/>
        <w:ind w:firstLine="420" w:firstLineChars="0"/>
      </w:pPr>
      <w:bookmarkStart w:id="12" w:name="_Toc4696"/>
      <w:r>
        <w:rPr>
          <w:rFonts w:hint="eastAsia"/>
        </w:rPr>
        <w:t>1</w:t>
      </w:r>
      <w:r>
        <w:t>.7.1符合性</w:t>
      </w:r>
      <w:bookmarkEnd w:id="12"/>
    </w:p>
    <w:p>
      <w:r>
        <w:rPr>
          <w:rFonts w:hint="eastAsia"/>
        </w:rPr>
        <w:t>所有专家提交当前条款的评标结果，【汇总】按钮启用，组长点击【汇总】，可查看到所有专家评标产生的结果，点击【保存】【提交】，提交后当前条款的评标结果不可修改。</w:t>
      </w:r>
    </w:p>
    <w:p>
      <w:r>
        <w:drawing>
          <wp:inline distT="0" distB="0" distL="114300" distR="114300">
            <wp:extent cx="5266690" cy="2112010"/>
            <wp:effectExtent l="0" t="0" r="6350" b="635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ind w:firstLine="420" w:firstLineChars="0"/>
      </w:pPr>
      <w:bookmarkStart w:id="13" w:name="_Toc31787"/>
      <w:r>
        <w:rPr>
          <w:rFonts w:hint="eastAsia"/>
        </w:rPr>
        <w:t>1</w:t>
      </w:r>
      <w:r>
        <w:t>.7.2评分</w:t>
      </w:r>
      <w:bookmarkEnd w:id="13"/>
    </w:p>
    <w:p>
      <w:pPr>
        <w:ind w:firstLine="420"/>
      </w:pPr>
      <w:r>
        <w:rPr>
          <w:rFonts w:hint="eastAsia"/>
        </w:rPr>
        <w:t>所有专家提交当前条款的评标结果，【汇总】按钮启用，组长点击【汇总】，可查看到所有专家的评标结果，点击【保存】【提交】，提交后当前条款的评标结果不可修改。</w:t>
      </w:r>
    </w:p>
    <w:p>
      <w:r>
        <w:drawing>
          <wp:inline distT="0" distB="0" distL="114300" distR="114300">
            <wp:extent cx="5266690" cy="2578735"/>
            <wp:effectExtent l="0" t="0" r="6350" b="1206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78735"/>
            <wp:effectExtent l="0" t="0" r="6350" b="1206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9324"/>
      <w:r>
        <w:rPr>
          <w:rFonts w:hint="eastAsia"/>
        </w:rPr>
        <w:t>1</w:t>
      </w:r>
      <w:r>
        <w:t>.8组长设置评标基准价</w:t>
      </w:r>
      <w:bookmarkEnd w:id="14"/>
    </w:p>
    <w:p>
      <w:r>
        <w:t>点击</w:t>
      </w:r>
      <w:r>
        <w:rPr>
          <w:rFonts w:hint="eastAsia"/>
        </w:rPr>
        <w:t>【请设置基准价】，系统根据组长选择的</w:t>
      </w:r>
      <w:r>
        <w:t>基准价计算规则</w:t>
      </w:r>
      <w:r>
        <w:rPr>
          <w:rFonts w:hint="eastAsia"/>
        </w:rPr>
        <w:t>生成基准价，点击【确定】。</w:t>
      </w:r>
    </w:p>
    <w:p>
      <w:r>
        <w:drawing>
          <wp:inline distT="0" distB="0" distL="114300" distR="114300">
            <wp:extent cx="5264150" cy="2487930"/>
            <wp:effectExtent l="0" t="0" r="8890" b="1143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rFonts w:hint="default" w:eastAsiaTheme="majorEastAsia"/>
          <w:lang w:val="en-US" w:eastAsia="zh-CN"/>
        </w:rPr>
      </w:pPr>
      <w:bookmarkStart w:id="15" w:name="_Toc5804"/>
      <w:r>
        <w:rPr>
          <w:rFonts w:hint="eastAsia"/>
        </w:rPr>
        <w:t>1</w:t>
      </w:r>
      <w:r>
        <w:t>.9组长汇总价格得分</w:t>
      </w:r>
      <w:bookmarkEnd w:id="15"/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>
      <w:r>
        <w:t>点击</w:t>
      </w:r>
      <w:r>
        <w:rPr>
          <w:rFonts w:hint="eastAsia"/>
        </w:rPr>
        <w:t>【生成价格得分】，系统根据价格得分的计算公式生成价格得分，点击【汇总全部价格得分】。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27216"/>
      <w:r>
        <w:rPr>
          <w:rFonts w:hint="eastAsia"/>
        </w:rPr>
        <w:t>1</w:t>
      </w:r>
      <w:r>
        <w:t>.10组长汇总评标结果</w:t>
      </w:r>
      <w:bookmarkEnd w:id="16"/>
    </w:p>
    <w:p>
      <w:r>
        <w:t>点击</w:t>
      </w:r>
      <w:r>
        <w:rPr>
          <w:rFonts w:hint="eastAsia"/>
        </w:rPr>
        <w:t>【汇总评标结果】，系统展示出每一家有效投标企业的所有评分，点击【汇总】。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8595" cy="2559685"/>
            <wp:effectExtent l="0" t="0" r="4445" b="63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pStyle w:val="3"/>
      </w:pPr>
      <w:bookmarkStart w:id="17" w:name="_Toc28138"/>
      <w:r>
        <w:rPr>
          <w:rFonts w:hint="eastAsia"/>
        </w:rPr>
        <w:t>1</w:t>
      </w:r>
      <w:r>
        <w:t>.11组长导出并上传评标表格</w:t>
      </w:r>
      <w:bookmarkEnd w:id="17"/>
    </w:p>
    <w:p>
      <w:r>
        <w:rPr>
          <w:rFonts w:hint="eastAsia"/>
        </w:rPr>
        <w:t>1、</w:t>
      </w:r>
      <w:r>
        <w:t>点击</w:t>
      </w:r>
      <w:r>
        <w:rPr>
          <w:rFonts w:hint="eastAsia"/>
        </w:rPr>
        <w:t>【导出/上传确认后表格】，点击【导出评标表格】，选择评标表格的路径，点击【保存】，评标表格导出成功。</w:t>
      </w:r>
    </w:p>
    <w:p>
      <w:r>
        <w:drawing>
          <wp:inline distT="0" distB="0" distL="114300" distR="114300">
            <wp:extent cx="5264785" cy="2560955"/>
            <wp:effectExtent l="0" t="0" r="8255" b="1460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2、点击【上传确认后表格】，选择需要文件，提示：已上传文件。</w:t>
      </w:r>
    </w:p>
    <w:p>
      <w:r>
        <w:drawing>
          <wp:inline distT="0" distB="0" distL="114300" distR="114300">
            <wp:extent cx="5266690" cy="2406015"/>
            <wp:effectExtent l="0" t="0" r="6350" b="190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、点击【下载确认的评标表格】，可下载上传确认后的表格。</w:t>
      </w:r>
    </w:p>
    <w:p>
      <w:pPr>
        <w:widowControl/>
        <w:jc w:val="left"/>
      </w:pPr>
      <w:r>
        <w:drawing>
          <wp:inline distT="0" distB="0" distL="114300" distR="114300">
            <wp:extent cx="5266690" cy="25184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8" w:name="_Toc11900"/>
      <w:r>
        <w:rPr>
          <w:rFonts w:hint="eastAsia"/>
        </w:rPr>
        <w:t>1</w:t>
      </w:r>
      <w:r>
        <w:t>.12组长导出并上传评标报告</w:t>
      </w:r>
      <w:bookmarkEnd w:id="18"/>
    </w:p>
    <w:p>
      <w:r>
        <w:rPr>
          <w:rFonts w:hint="eastAsia"/>
        </w:rPr>
        <w:t>1、</w:t>
      </w:r>
      <w:r>
        <w:t>点击</w:t>
      </w:r>
      <w:r>
        <w:rPr>
          <w:rFonts w:hint="eastAsia"/>
        </w:rPr>
        <w:t>【导出评标报告】，点击【导出报告】，选择评标报告的路径，点击【保存】，评标报告导出成功。</w:t>
      </w:r>
    </w:p>
    <w:p>
      <w:r>
        <w:drawing>
          <wp:inline distT="0" distB="0" distL="0" distR="0">
            <wp:extent cx="5274310" cy="272161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2、点击【上传评标报告】，选择需要文件，提示：已上传文件。</w:t>
      </w:r>
    </w:p>
    <w:p>
      <w:r>
        <w:drawing>
          <wp:inline distT="0" distB="0" distL="114300" distR="114300">
            <wp:extent cx="5264150" cy="2543175"/>
            <wp:effectExtent l="0" t="0" r="8890" b="190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</w:t>
      </w:r>
      <w:r>
        <w:rPr>
          <w:rFonts w:hint="eastAsia"/>
        </w:rPr>
        <w:t>、点击【下载确认的评标报告】，可下载上传确认后的报告。</w:t>
      </w:r>
    </w:p>
    <w:p>
      <w:pPr>
        <w:pStyle w:val="3"/>
      </w:pPr>
      <w:bookmarkStart w:id="19" w:name="_Toc30164"/>
      <w:r>
        <w:rPr>
          <w:rFonts w:hint="eastAsia"/>
        </w:rPr>
        <w:t>1</w:t>
      </w:r>
      <w:r>
        <w:t>.13组长</w:t>
      </w:r>
      <w:r>
        <w:rPr>
          <w:rFonts w:hint="eastAsia"/>
        </w:rPr>
        <w:t>上传专家签名后的文件</w:t>
      </w:r>
      <w:bookmarkEnd w:id="19"/>
    </w:p>
    <w:p>
      <w:r>
        <w:t>1</w:t>
      </w:r>
      <w:r>
        <w:rPr>
          <w:rFonts w:hint="eastAsia"/>
        </w:rPr>
        <w:t>、选择签名方式后，如选择的为线下集中签名，点击【上传】，将专家签名后的文件上传到系统中。</w:t>
      </w:r>
    </w:p>
    <w:p/>
    <w:p>
      <w:r>
        <w:drawing>
          <wp:inline distT="0" distB="0" distL="114300" distR="114300">
            <wp:extent cx="5271770" cy="3169920"/>
            <wp:effectExtent l="0" t="0" r="127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790"/>
      <w:r>
        <w:rPr>
          <w:rFonts w:hint="eastAsia"/>
        </w:rPr>
        <w:t>1</w:t>
      </w:r>
      <w:r>
        <w:t>.14组长点击评标结束</w:t>
      </w:r>
      <w:bookmarkEnd w:id="20"/>
    </w:p>
    <w:p/>
    <w:p>
      <w:r>
        <w:t>点击</w:t>
      </w:r>
      <w:r>
        <w:rPr>
          <w:rFonts w:hint="eastAsia"/>
        </w:rPr>
        <w:t>【结束评标】，提示：已结束评标。</w:t>
      </w:r>
    </w:p>
    <w:p>
      <w:r>
        <w:drawing>
          <wp:inline distT="0" distB="0" distL="0" distR="0">
            <wp:extent cx="1323340" cy="551815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47440" cy="475615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30242"/>
      <w:r>
        <w:rPr>
          <w:rFonts w:hint="eastAsia"/>
        </w:rPr>
        <w:t>1</w:t>
      </w:r>
      <w:r>
        <w:t>.15</w:t>
      </w:r>
      <w:r>
        <w:rPr>
          <w:rFonts w:hint="eastAsia"/>
        </w:rPr>
        <w:t>磋商、谈判评标流程</w:t>
      </w:r>
      <w:bookmarkEnd w:id="21"/>
    </w:p>
    <w:p>
      <w:r>
        <w:tab/>
      </w:r>
      <w:r>
        <w:rPr>
          <w:rFonts w:hint="eastAsia"/>
        </w:rPr>
        <w:t>二次报价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二次报价只有组长可以发起</w:t>
      </w:r>
    </w:p>
    <w:p>
      <w:r>
        <w:drawing>
          <wp:inline distT="0" distB="0" distL="0" distR="0">
            <wp:extent cx="5274310" cy="2357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启动报价后，只有效投标人才可进行报价</w:t>
      </w:r>
    </w:p>
    <w:p>
      <w:r>
        <w:drawing>
          <wp:inline distT="0" distB="0" distL="0" distR="0">
            <wp:extent cx="5274310" cy="26333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本轮次报价完成后可根据提示进行下一轮报价或者结束报价</w:t>
      </w:r>
    </w:p>
    <w:p>
      <w:r>
        <w:drawing>
          <wp:inline distT="0" distB="0" distL="0" distR="0">
            <wp:extent cx="5274310" cy="25374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在线沟通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此项功能只有在评标组长点击后才可使用</w:t>
      </w:r>
    </w:p>
    <w:p>
      <w:r>
        <w:drawing>
          <wp:inline distT="0" distB="0" distL="0" distR="0">
            <wp:extent cx="5274310" cy="25044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点击【发起沟通】按钮自动出现聊天窗口。可根据情况进行结束沟通。</w:t>
      </w:r>
    </w:p>
    <w:p>
      <w:r>
        <w:drawing>
          <wp:inline distT="0" distB="0" distL="0" distR="0">
            <wp:extent cx="5274310" cy="251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其余评标流程不变。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06973712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II</w:t>
        </w:r>
        <w:r>
          <w:fldChar w:fldCharType="end"/>
        </w:r>
      </w:p>
    </w:sdtContent>
  </w:sdt>
  <w:p>
    <w:pPr>
      <w:pStyle w:val="10"/>
      <w:pBdr>
        <w:top w:val="single" w:color="auto" w:sz="4" w:space="1"/>
      </w:pBdr>
      <w:jc w:val="right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9031853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</w:t>
        </w:r>
        <w:r>
          <w:fldChar w:fldCharType="end"/>
        </w:r>
      </w:p>
    </w:sdtContent>
  </w:sdt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lang w:val="zh-CN"/>
      </w:rPr>
      <w:t xml:space="preserve"> </w:t>
    </w:r>
    <w:r>
      <w:rPr>
        <w:lang w:val="zh-CN"/>
      </w:rPr>
      <w:fldChar w:fldCharType="begin"/>
    </w:r>
    <w:r>
      <w:rPr>
        <w:lang w:val="zh-CN"/>
      </w:rPr>
      <w:instrText xml:space="preserve">PAGE  \* Arabic  \* MERGEFORMAT</w:instrText>
    </w:r>
    <w:r>
      <w:rPr>
        <w:lang w:val="zh-CN"/>
      </w:rP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  <w:r>
      <w:rPr>
        <w:lang w:val="zh-CN"/>
      </w:rPr>
      <w:t xml:space="preserve"> / </w:t>
    </w:r>
    <w:r>
      <w:rPr>
        <w:lang w:val="zh-CN"/>
      </w:rPr>
      <w:fldChar w:fldCharType="begin"/>
    </w:r>
    <w:r>
      <w:rPr>
        <w:lang w:val="zh-CN"/>
      </w:rPr>
      <w:instrText xml:space="preserve"> SECTIONPAGES  \* Arabic </w:instrText>
    </w:r>
    <w:r>
      <w:rPr>
        <w:lang w:val="zh-CN"/>
      </w:rPr>
      <w:fldChar w:fldCharType="separate"/>
    </w:r>
    <w:r>
      <w:rPr>
        <w:lang w:val="zh-CN"/>
      </w:rPr>
      <w:t>13</w:t>
    </w:r>
    <w:r>
      <w:rPr>
        <w:lang w:val="zh-CN"/>
      </w:rPr>
      <w:fldChar w:fldCharType="end"/>
    </w:r>
  </w:p>
  <w:p>
    <w:pPr>
      <w:pStyle w:val="10"/>
      <w:pBdr>
        <w:top w:val="single" w:color="auto" w:sz="4" w:space="1"/>
      </w:pBdr>
      <w:jc w:val="right"/>
      <w:rPr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both"/>
    </w:pPr>
    <w:r>
      <w:rPr>
        <w:rFonts w:hint="eastAsia"/>
        <w:lang w:val="en-US" w:eastAsia="zh-CN"/>
      </w:rPr>
      <w:t>泰兴医院</w:t>
    </w:r>
    <w:r>
      <w:rPr>
        <w:rFonts w:hint="eastAsia"/>
      </w:rPr>
      <w:t>电子招标投标交易平台专家操作手册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5210BA"/>
    <w:multiLevelType w:val="multilevel"/>
    <w:tmpl w:val="245210B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entative="0">
      <w:start w:val="1"/>
      <w:numFmt w:val="chineseCountingThousand"/>
      <w:lvlText w:val="%3、"/>
      <w:lvlJc w:val="left"/>
      <w:pPr>
        <w:ind w:left="0" w:firstLine="0"/>
      </w:pPr>
      <w:rPr>
        <w:rFonts w:hint="default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ExYzc3M2Q2ZGRmMTRjYThlMDcyM2E1NjU2MTQ0NTYifQ=="/>
  </w:docVars>
  <w:rsids>
    <w:rsidRoot w:val="002A0D97"/>
    <w:rsid w:val="000003AC"/>
    <w:rsid w:val="00000F06"/>
    <w:rsid w:val="0001121D"/>
    <w:rsid w:val="000211E7"/>
    <w:rsid w:val="0002325D"/>
    <w:rsid w:val="00031D6D"/>
    <w:rsid w:val="00031F8B"/>
    <w:rsid w:val="00035741"/>
    <w:rsid w:val="000369E5"/>
    <w:rsid w:val="00041BA8"/>
    <w:rsid w:val="000427B1"/>
    <w:rsid w:val="00056C14"/>
    <w:rsid w:val="00060E18"/>
    <w:rsid w:val="00064921"/>
    <w:rsid w:val="00066C72"/>
    <w:rsid w:val="00070F5B"/>
    <w:rsid w:val="00077638"/>
    <w:rsid w:val="00085CAF"/>
    <w:rsid w:val="0009332A"/>
    <w:rsid w:val="0009513A"/>
    <w:rsid w:val="000A5329"/>
    <w:rsid w:val="000B2266"/>
    <w:rsid w:val="000B36C0"/>
    <w:rsid w:val="000C1AC0"/>
    <w:rsid w:val="000C5ADB"/>
    <w:rsid w:val="000C60C8"/>
    <w:rsid w:val="000C7E2B"/>
    <w:rsid w:val="000D0AD0"/>
    <w:rsid w:val="000D63C7"/>
    <w:rsid w:val="000E68E6"/>
    <w:rsid w:val="000F4A8E"/>
    <w:rsid w:val="000F5552"/>
    <w:rsid w:val="00100C4C"/>
    <w:rsid w:val="0011076A"/>
    <w:rsid w:val="00111724"/>
    <w:rsid w:val="00114BED"/>
    <w:rsid w:val="00117410"/>
    <w:rsid w:val="00117DEA"/>
    <w:rsid w:val="00121EA1"/>
    <w:rsid w:val="00127390"/>
    <w:rsid w:val="001312D9"/>
    <w:rsid w:val="0013170E"/>
    <w:rsid w:val="00136C18"/>
    <w:rsid w:val="00141025"/>
    <w:rsid w:val="00144698"/>
    <w:rsid w:val="001460F6"/>
    <w:rsid w:val="00146FF4"/>
    <w:rsid w:val="001478AC"/>
    <w:rsid w:val="00147D86"/>
    <w:rsid w:val="00150DD3"/>
    <w:rsid w:val="00152085"/>
    <w:rsid w:val="001550DC"/>
    <w:rsid w:val="00155DD2"/>
    <w:rsid w:val="00163C03"/>
    <w:rsid w:val="0016785B"/>
    <w:rsid w:val="00167BB3"/>
    <w:rsid w:val="001701A7"/>
    <w:rsid w:val="001813DB"/>
    <w:rsid w:val="00184669"/>
    <w:rsid w:val="00187A0D"/>
    <w:rsid w:val="00197EFB"/>
    <w:rsid w:val="001A736D"/>
    <w:rsid w:val="001B6ABC"/>
    <w:rsid w:val="001C60C6"/>
    <w:rsid w:val="001C6685"/>
    <w:rsid w:val="001D631D"/>
    <w:rsid w:val="001E057E"/>
    <w:rsid w:val="001F28BC"/>
    <w:rsid w:val="001F3658"/>
    <w:rsid w:val="001F7AE0"/>
    <w:rsid w:val="0020644A"/>
    <w:rsid w:val="00210355"/>
    <w:rsid w:val="00212A7E"/>
    <w:rsid w:val="00213315"/>
    <w:rsid w:val="00213D37"/>
    <w:rsid w:val="002165A2"/>
    <w:rsid w:val="00221A4A"/>
    <w:rsid w:val="00221F3B"/>
    <w:rsid w:val="002251A1"/>
    <w:rsid w:val="00226935"/>
    <w:rsid w:val="0022786A"/>
    <w:rsid w:val="00230314"/>
    <w:rsid w:val="002320D5"/>
    <w:rsid w:val="00233239"/>
    <w:rsid w:val="00236124"/>
    <w:rsid w:val="00243181"/>
    <w:rsid w:val="0024653B"/>
    <w:rsid w:val="00253E3E"/>
    <w:rsid w:val="002556EB"/>
    <w:rsid w:val="00260E19"/>
    <w:rsid w:val="002621D3"/>
    <w:rsid w:val="0026507A"/>
    <w:rsid w:val="00265667"/>
    <w:rsid w:val="00266444"/>
    <w:rsid w:val="0027105D"/>
    <w:rsid w:val="00272468"/>
    <w:rsid w:val="00272CD3"/>
    <w:rsid w:val="00274F09"/>
    <w:rsid w:val="00280C51"/>
    <w:rsid w:val="0028550B"/>
    <w:rsid w:val="0029507A"/>
    <w:rsid w:val="00295F6C"/>
    <w:rsid w:val="002A03F5"/>
    <w:rsid w:val="002A061B"/>
    <w:rsid w:val="002A0774"/>
    <w:rsid w:val="002A0D97"/>
    <w:rsid w:val="002A1F34"/>
    <w:rsid w:val="002A6746"/>
    <w:rsid w:val="002B5C62"/>
    <w:rsid w:val="002B720E"/>
    <w:rsid w:val="002B75E4"/>
    <w:rsid w:val="002C3624"/>
    <w:rsid w:val="002C544F"/>
    <w:rsid w:val="002C7C1D"/>
    <w:rsid w:val="002E1B2D"/>
    <w:rsid w:val="002E5FD5"/>
    <w:rsid w:val="002F039E"/>
    <w:rsid w:val="002F1C36"/>
    <w:rsid w:val="002F1F42"/>
    <w:rsid w:val="002F2388"/>
    <w:rsid w:val="002F70B0"/>
    <w:rsid w:val="00302F79"/>
    <w:rsid w:val="00313090"/>
    <w:rsid w:val="00315D4C"/>
    <w:rsid w:val="003259B1"/>
    <w:rsid w:val="003310E3"/>
    <w:rsid w:val="00331973"/>
    <w:rsid w:val="003338AF"/>
    <w:rsid w:val="00334041"/>
    <w:rsid w:val="00334A8E"/>
    <w:rsid w:val="00334BDE"/>
    <w:rsid w:val="00341A38"/>
    <w:rsid w:val="00345A0C"/>
    <w:rsid w:val="00345CC0"/>
    <w:rsid w:val="0034617F"/>
    <w:rsid w:val="00347CBC"/>
    <w:rsid w:val="0035355A"/>
    <w:rsid w:val="00355307"/>
    <w:rsid w:val="00361771"/>
    <w:rsid w:val="003729D0"/>
    <w:rsid w:val="003765C1"/>
    <w:rsid w:val="00384D35"/>
    <w:rsid w:val="0038745C"/>
    <w:rsid w:val="003A3B73"/>
    <w:rsid w:val="003A3EE6"/>
    <w:rsid w:val="003A6B2F"/>
    <w:rsid w:val="003B277C"/>
    <w:rsid w:val="003B70FE"/>
    <w:rsid w:val="003C5C3E"/>
    <w:rsid w:val="003D2AF2"/>
    <w:rsid w:val="003D712F"/>
    <w:rsid w:val="003E1887"/>
    <w:rsid w:val="003E25FA"/>
    <w:rsid w:val="003E5D42"/>
    <w:rsid w:val="003E633B"/>
    <w:rsid w:val="003E7231"/>
    <w:rsid w:val="003F0988"/>
    <w:rsid w:val="003F0E9C"/>
    <w:rsid w:val="003F4D50"/>
    <w:rsid w:val="003F659C"/>
    <w:rsid w:val="003F6DF8"/>
    <w:rsid w:val="00401D80"/>
    <w:rsid w:val="0040202D"/>
    <w:rsid w:val="00403694"/>
    <w:rsid w:val="00403F3E"/>
    <w:rsid w:val="00404041"/>
    <w:rsid w:val="004042DC"/>
    <w:rsid w:val="00404807"/>
    <w:rsid w:val="00404CDA"/>
    <w:rsid w:val="00406CE1"/>
    <w:rsid w:val="00410068"/>
    <w:rsid w:val="004132DA"/>
    <w:rsid w:val="00414B09"/>
    <w:rsid w:val="004202D0"/>
    <w:rsid w:val="0042084E"/>
    <w:rsid w:val="00422A80"/>
    <w:rsid w:val="00431341"/>
    <w:rsid w:val="00434C78"/>
    <w:rsid w:val="00437882"/>
    <w:rsid w:val="0044004C"/>
    <w:rsid w:val="00441E57"/>
    <w:rsid w:val="00442B14"/>
    <w:rsid w:val="004528F0"/>
    <w:rsid w:val="004529CF"/>
    <w:rsid w:val="00465DF2"/>
    <w:rsid w:val="0047065E"/>
    <w:rsid w:val="00470DE4"/>
    <w:rsid w:val="00471DFD"/>
    <w:rsid w:val="00472A11"/>
    <w:rsid w:val="00472F32"/>
    <w:rsid w:val="004730CD"/>
    <w:rsid w:val="0048504D"/>
    <w:rsid w:val="00486A29"/>
    <w:rsid w:val="0049030D"/>
    <w:rsid w:val="00491D10"/>
    <w:rsid w:val="00492ACE"/>
    <w:rsid w:val="00494773"/>
    <w:rsid w:val="004A027E"/>
    <w:rsid w:val="004A06B6"/>
    <w:rsid w:val="004A0A88"/>
    <w:rsid w:val="004A3322"/>
    <w:rsid w:val="004A4B45"/>
    <w:rsid w:val="004A76AA"/>
    <w:rsid w:val="004B0844"/>
    <w:rsid w:val="004B4431"/>
    <w:rsid w:val="004B4AFC"/>
    <w:rsid w:val="004B5A5A"/>
    <w:rsid w:val="004B645E"/>
    <w:rsid w:val="004B73BF"/>
    <w:rsid w:val="004B7930"/>
    <w:rsid w:val="004C2D5F"/>
    <w:rsid w:val="004C2EB9"/>
    <w:rsid w:val="004C50E6"/>
    <w:rsid w:val="004C66E0"/>
    <w:rsid w:val="004D108F"/>
    <w:rsid w:val="004D4AD8"/>
    <w:rsid w:val="004E0B2D"/>
    <w:rsid w:val="004E3599"/>
    <w:rsid w:val="004E6FD8"/>
    <w:rsid w:val="004F3E18"/>
    <w:rsid w:val="0050063A"/>
    <w:rsid w:val="00506B0F"/>
    <w:rsid w:val="0050730C"/>
    <w:rsid w:val="00512793"/>
    <w:rsid w:val="00514EBB"/>
    <w:rsid w:val="00516EE1"/>
    <w:rsid w:val="005209B4"/>
    <w:rsid w:val="005210B9"/>
    <w:rsid w:val="00521D3B"/>
    <w:rsid w:val="00524653"/>
    <w:rsid w:val="0052618D"/>
    <w:rsid w:val="005347F6"/>
    <w:rsid w:val="00536F60"/>
    <w:rsid w:val="00540C55"/>
    <w:rsid w:val="005426C9"/>
    <w:rsid w:val="0054526D"/>
    <w:rsid w:val="005577EF"/>
    <w:rsid w:val="00557EC2"/>
    <w:rsid w:val="0056109E"/>
    <w:rsid w:val="005640B3"/>
    <w:rsid w:val="00566252"/>
    <w:rsid w:val="00566A7D"/>
    <w:rsid w:val="00574EAB"/>
    <w:rsid w:val="00577BED"/>
    <w:rsid w:val="005836B8"/>
    <w:rsid w:val="00587B92"/>
    <w:rsid w:val="00593CA1"/>
    <w:rsid w:val="00594CE2"/>
    <w:rsid w:val="00596315"/>
    <w:rsid w:val="005A0AAE"/>
    <w:rsid w:val="005A6CFA"/>
    <w:rsid w:val="005B1E0D"/>
    <w:rsid w:val="005B6C11"/>
    <w:rsid w:val="005B7203"/>
    <w:rsid w:val="005C4E9F"/>
    <w:rsid w:val="005C5347"/>
    <w:rsid w:val="005C5F94"/>
    <w:rsid w:val="005C7250"/>
    <w:rsid w:val="005D0529"/>
    <w:rsid w:val="005D0694"/>
    <w:rsid w:val="005D1184"/>
    <w:rsid w:val="005D28B6"/>
    <w:rsid w:val="005E2C33"/>
    <w:rsid w:val="005E3084"/>
    <w:rsid w:val="005E692B"/>
    <w:rsid w:val="005F0373"/>
    <w:rsid w:val="005F33D7"/>
    <w:rsid w:val="00600684"/>
    <w:rsid w:val="00601921"/>
    <w:rsid w:val="0060653B"/>
    <w:rsid w:val="00606B1F"/>
    <w:rsid w:val="0060795D"/>
    <w:rsid w:val="00607FB9"/>
    <w:rsid w:val="00607FBE"/>
    <w:rsid w:val="0061117F"/>
    <w:rsid w:val="00612D37"/>
    <w:rsid w:val="00613C9B"/>
    <w:rsid w:val="00613E7D"/>
    <w:rsid w:val="00615F48"/>
    <w:rsid w:val="00616492"/>
    <w:rsid w:val="0062220A"/>
    <w:rsid w:val="00625F48"/>
    <w:rsid w:val="0062611A"/>
    <w:rsid w:val="006271E0"/>
    <w:rsid w:val="00631DE2"/>
    <w:rsid w:val="0064230A"/>
    <w:rsid w:val="00643537"/>
    <w:rsid w:val="00644813"/>
    <w:rsid w:val="0064568E"/>
    <w:rsid w:val="00647DC9"/>
    <w:rsid w:val="00653A62"/>
    <w:rsid w:val="006600E9"/>
    <w:rsid w:val="00664863"/>
    <w:rsid w:val="00670A60"/>
    <w:rsid w:val="006754F1"/>
    <w:rsid w:val="00675670"/>
    <w:rsid w:val="00682C61"/>
    <w:rsid w:val="00684D3A"/>
    <w:rsid w:val="00697BC6"/>
    <w:rsid w:val="006A4FB0"/>
    <w:rsid w:val="006B45B0"/>
    <w:rsid w:val="006B6E16"/>
    <w:rsid w:val="006C3DBD"/>
    <w:rsid w:val="006C42BB"/>
    <w:rsid w:val="006C7954"/>
    <w:rsid w:val="006D29ED"/>
    <w:rsid w:val="006E0986"/>
    <w:rsid w:val="006E2A8F"/>
    <w:rsid w:val="006E2C99"/>
    <w:rsid w:val="006E4813"/>
    <w:rsid w:val="006E5DC6"/>
    <w:rsid w:val="006E7984"/>
    <w:rsid w:val="006F35D2"/>
    <w:rsid w:val="006F7B2B"/>
    <w:rsid w:val="00701C0C"/>
    <w:rsid w:val="0070202B"/>
    <w:rsid w:val="007025D9"/>
    <w:rsid w:val="00704DE0"/>
    <w:rsid w:val="00710C75"/>
    <w:rsid w:val="00720649"/>
    <w:rsid w:val="00726C2F"/>
    <w:rsid w:val="007277ED"/>
    <w:rsid w:val="00732621"/>
    <w:rsid w:val="00736C31"/>
    <w:rsid w:val="00746528"/>
    <w:rsid w:val="00747CE8"/>
    <w:rsid w:val="0075458D"/>
    <w:rsid w:val="00757937"/>
    <w:rsid w:val="00761DAD"/>
    <w:rsid w:val="00766F68"/>
    <w:rsid w:val="00771B6F"/>
    <w:rsid w:val="007726CE"/>
    <w:rsid w:val="007766D2"/>
    <w:rsid w:val="00777365"/>
    <w:rsid w:val="00787A44"/>
    <w:rsid w:val="00790088"/>
    <w:rsid w:val="00794926"/>
    <w:rsid w:val="0079565E"/>
    <w:rsid w:val="0079773C"/>
    <w:rsid w:val="007A00C1"/>
    <w:rsid w:val="007A2573"/>
    <w:rsid w:val="007A6D13"/>
    <w:rsid w:val="007A74E0"/>
    <w:rsid w:val="007B4CDF"/>
    <w:rsid w:val="007C15BD"/>
    <w:rsid w:val="007C218A"/>
    <w:rsid w:val="007C2349"/>
    <w:rsid w:val="007D1631"/>
    <w:rsid w:val="007D3BB8"/>
    <w:rsid w:val="007D45FC"/>
    <w:rsid w:val="007D673D"/>
    <w:rsid w:val="007D7CB5"/>
    <w:rsid w:val="007E028D"/>
    <w:rsid w:val="007E167D"/>
    <w:rsid w:val="007E198A"/>
    <w:rsid w:val="007E6C9B"/>
    <w:rsid w:val="007F2861"/>
    <w:rsid w:val="007F4ECF"/>
    <w:rsid w:val="007F7449"/>
    <w:rsid w:val="00801731"/>
    <w:rsid w:val="00801CB4"/>
    <w:rsid w:val="008114F7"/>
    <w:rsid w:val="0081150F"/>
    <w:rsid w:val="008216E1"/>
    <w:rsid w:val="008231E0"/>
    <w:rsid w:val="00825CDE"/>
    <w:rsid w:val="00831DFC"/>
    <w:rsid w:val="0083444D"/>
    <w:rsid w:val="00837970"/>
    <w:rsid w:val="00842065"/>
    <w:rsid w:val="00845CE3"/>
    <w:rsid w:val="00847543"/>
    <w:rsid w:val="00847CCF"/>
    <w:rsid w:val="00847F85"/>
    <w:rsid w:val="008540F0"/>
    <w:rsid w:val="00855163"/>
    <w:rsid w:val="0085574E"/>
    <w:rsid w:val="00856151"/>
    <w:rsid w:val="008636EF"/>
    <w:rsid w:val="00863EA2"/>
    <w:rsid w:val="00875E3E"/>
    <w:rsid w:val="00876D7A"/>
    <w:rsid w:val="008774C6"/>
    <w:rsid w:val="00881601"/>
    <w:rsid w:val="00881D61"/>
    <w:rsid w:val="00884767"/>
    <w:rsid w:val="0088543E"/>
    <w:rsid w:val="0088578E"/>
    <w:rsid w:val="008904B9"/>
    <w:rsid w:val="00891D6C"/>
    <w:rsid w:val="0089263A"/>
    <w:rsid w:val="00893C40"/>
    <w:rsid w:val="008A01E4"/>
    <w:rsid w:val="008A0314"/>
    <w:rsid w:val="008A0EAB"/>
    <w:rsid w:val="008A2A3E"/>
    <w:rsid w:val="008A6652"/>
    <w:rsid w:val="008B00A3"/>
    <w:rsid w:val="008B6331"/>
    <w:rsid w:val="008B72EE"/>
    <w:rsid w:val="008C42D9"/>
    <w:rsid w:val="008C6DD5"/>
    <w:rsid w:val="008C7D77"/>
    <w:rsid w:val="008D0517"/>
    <w:rsid w:val="008D2C8F"/>
    <w:rsid w:val="008D3B54"/>
    <w:rsid w:val="008D7DD7"/>
    <w:rsid w:val="008E06FD"/>
    <w:rsid w:val="008E24C6"/>
    <w:rsid w:val="008E6339"/>
    <w:rsid w:val="008F4325"/>
    <w:rsid w:val="008F6697"/>
    <w:rsid w:val="00900B68"/>
    <w:rsid w:val="009050B5"/>
    <w:rsid w:val="00905726"/>
    <w:rsid w:val="00905874"/>
    <w:rsid w:val="00913F4E"/>
    <w:rsid w:val="00916109"/>
    <w:rsid w:val="00916B64"/>
    <w:rsid w:val="00924AEE"/>
    <w:rsid w:val="00925AC5"/>
    <w:rsid w:val="00931FD2"/>
    <w:rsid w:val="009366DC"/>
    <w:rsid w:val="00946F87"/>
    <w:rsid w:val="0095399D"/>
    <w:rsid w:val="00963D04"/>
    <w:rsid w:val="00963F1C"/>
    <w:rsid w:val="00970559"/>
    <w:rsid w:val="00970609"/>
    <w:rsid w:val="00972E51"/>
    <w:rsid w:val="0097798C"/>
    <w:rsid w:val="009803B7"/>
    <w:rsid w:val="00980E32"/>
    <w:rsid w:val="00982352"/>
    <w:rsid w:val="00984547"/>
    <w:rsid w:val="0098773F"/>
    <w:rsid w:val="00990D5A"/>
    <w:rsid w:val="0099122C"/>
    <w:rsid w:val="009914C8"/>
    <w:rsid w:val="00992894"/>
    <w:rsid w:val="009939B4"/>
    <w:rsid w:val="00995698"/>
    <w:rsid w:val="009A1DF4"/>
    <w:rsid w:val="009A660B"/>
    <w:rsid w:val="009B4A45"/>
    <w:rsid w:val="009B76ED"/>
    <w:rsid w:val="009C64EC"/>
    <w:rsid w:val="009D2F85"/>
    <w:rsid w:val="009D3120"/>
    <w:rsid w:val="009D6DE3"/>
    <w:rsid w:val="009D7C39"/>
    <w:rsid w:val="009E4E1F"/>
    <w:rsid w:val="009E5A7C"/>
    <w:rsid w:val="009F20E9"/>
    <w:rsid w:val="00A01AFB"/>
    <w:rsid w:val="00A031FF"/>
    <w:rsid w:val="00A037D6"/>
    <w:rsid w:val="00A04C0B"/>
    <w:rsid w:val="00A13964"/>
    <w:rsid w:val="00A174D2"/>
    <w:rsid w:val="00A21D3D"/>
    <w:rsid w:val="00A2779E"/>
    <w:rsid w:val="00A3118F"/>
    <w:rsid w:val="00A32B34"/>
    <w:rsid w:val="00A36283"/>
    <w:rsid w:val="00A4474A"/>
    <w:rsid w:val="00A51054"/>
    <w:rsid w:val="00A51C07"/>
    <w:rsid w:val="00A52E69"/>
    <w:rsid w:val="00A5354B"/>
    <w:rsid w:val="00A55431"/>
    <w:rsid w:val="00A61C90"/>
    <w:rsid w:val="00A63686"/>
    <w:rsid w:val="00A655ED"/>
    <w:rsid w:val="00A65E9E"/>
    <w:rsid w:val="00A70793"/>
    <w:rsid w:val="00A72306"/>
    <w:rsid w:val="00A72EC6"/>
    <w:rsid w:val="00A855E1"/>
    <w:rsid w:val="00A9051B"/>
    <w:rsid w:val="00A90B1A"/>
    <w:rsid w:val="00A95151"/>
    <w:rsid w:val="00A951E4"/>
    <w:rsid w:val="00AA0ED9"/>
    <w:rsid w:val="00AA3921"/>
    <w:rsid w:val="00AA6CA4"/>
    <w:rsid w:val="00AB4038"/>
    <w:rsid w:val="00AB4F94"/>
    <w:rsid w:val="00AC26BC"/>
    <w:rsid w:val="00AC2868"/>
    <w:rsid w:val="00AC2F4E"/>
    <w:rsid w:val="00AC6395"/>
    <w:rsid w:val="00AC6E03"/>
    <w:rsid w:val="00AD080A"/>
    <w:rsid w:val="00AD3541"/>
    <w:rsid w:val="00AD7BC3"/>
    <w:rsid w:val="00AE3B90"/>
    <w:rsid w:val="00AE4749"/>
    <w:rsid w:val="00AE5D7F"/>
    <w:rsid w:val="00AF191D"/>
    <w:rsid w:val="00AF2BBC"/>
    <w:rsid w:val="00AF4EAA"/>
    <w:rsid w:val="00AF64BD"/>
    <w:rsid w:val="00AF720D"/>
    <w:rsid w:val="00B05959"/>
    <w:rsid w:val="00B10EC7"/>
    <w:rsid w:val="00B174CA"/>
    <w:rsid w:val="00B23309"/>
    <w:rsid w:val="00B34BD8"/>
    <w:rsid w:val="00B35EFA"/>
    <w:rsid w:val="00B36897"/>
    <w:rsid w:val="00B375C6"/>
    <w:rsid w:val="00B40079"/>
    <w:rsid w:val="00B4523B"/>
    <w:rsid w:val="00B607F6"/>
    <w:rsid w:val="00B60D33"/>
    <w:rsid w:val="00B628A9"/>
    <w:rsid w:val="00B67EC2"/>
    <w:rsid w:val="00B73E52"/>
    <w:rsid w:val="00B822B5"/>
    <w:rsid w:val="00B86753"/>
    <w:rsid w:val="00B878DB"/>
    <w:rsid w:val="00B91AEF"/>
    <w:rsid w:val="00B92BE7"/>
    <w:rsid w:val="00B92E9B"/>
    <w:rsid w:val="00B9456C"/>
    <w:rsid w:val="00B95374"/>
    <w:rsid w:val="00B95ABF"/>
    <w:rsid w:val="00B97909"/>
    <w:rsid w:val="00BA1515"/>
    <w:rsid w:val="00BA175C"/>
    <w:rsid w:val="00BA4918"/>
    <w:rsid w:val="00BA4BEF"/>
    <w:rsid w:val="00BB37D7"/>
    <w:rsid w:val="00BC2023"/>
    <w:rsid w:val="00BD0782"/>
    <w:rsid w:val="00BD5A84"/>
    <w:rsid w:val="00BD7784"/>
    <w:rsid w:val="00BD791F"/>
    <w:rsid w:val="00BF4035"/>
    <w:rsid w:val="00BF5FD1"/>
    <w:rsid w:val="00BF6AC6"/>
    <w:rsid w:val="00BF7A8C"/>
    <w:rsid w:val="00C024E2"/>
    <w:rsid w:val="00C02601"/>
    <w:rsid w:val="00C0431A"/>
    <w:rsid w:val="00C04759"/>
    <w:rsid w:val="00C047DF"/>
    <w:rsid w:val="00C14A33"/>
    <w:rsid w:val="00C17CD9"/>
    <w:rsid w:val="00C218CA"/>
    <w:rsid w:val="00C23790"/>
    <w:rsid w:val="00C2433C"/>
    <w:rsid w:val="00C257FA"/>
    <w:rsid w:val="00C25E36"/>
    <w:rsid w:val="00C25E8C"/>
    <w:rsid w:val="00C26D9D"/>
    <w:rsid w:val="00C272B2"/>
    <w:rsid w:val="00C37338"/>
    <w:rsid w:val="00C42918"/>
    <w:rsid w:val="00C42B4B"/>
    <w:rsid w:val="00C42BEC"/>
    <w:rsid w:val="00C55810"/>
    <w:rsid w:val="00C60B02"/>
    <w:rsid w:val="00C614B7"/>
    <w:rsid w:val="00C61AF0"/>
    <w:rsid w:val="00C70716"/>
    <w:rsid w:val="00C74E95"/>
    <w:rsid w:val="00C77C62"/>
    <w:rsid w:val="00C82322"/>
    <w:rsid w:val="00C8741A"/>
    <w:rsid w:val="00C90A93"/>
    <w:rsid w:val="00C93A00"/>
    <w:rsid w:val="00C9431D"/>
    <w:rsid w:val="00C979AD"/>
    <w:rsid w:val="00CA2BAB"/>
    <w:rsid w:val="00CA322E"/>
    <w:rsid w:val="00CA6ACE"/>
    <w:rsid w:val="00CB1379"/>
    <w:rsid w:val="00CB2F6E"/>
    <w:rsid w:val="00CB5ED0"/>
    <w:rsid w:val="00CB5EFE"/>
    <w:rsid w:val="00CC5F5A"/>
    <w:rsid w:val="00CE26C6"/>
    <w:rsid w:val="00CE3574"/>
    <w:rsid w:val="00CE43C1"/>
    <w:rsid w:val="00CE652B"/>
    <w:rsid w:val="00CE6A1C"/>
    <w:rsid w:val="00CF3C18"/>
    <w:rsid w:val="00CF46BC"/>
    <w:rsid w:val="00CF6383"/>
    <w:rsid w:val="00D00A10"/>
    <w:rsid w:val="00D016BF"/>
    <w:rsid w:val="00D01B02"/>
    <w:rsid w:val="00D06169"/>
    <w:rsid w:val="00D06B7E"/>
    <w:rsid w:val="00D11B19"/>
    <w:rsid w:val="00D14D31"/>
    <w:rsid w:val="00D17BE7"/>
    <w:rsid w:val="00D20821"/>
    <w:rsid w:val="00D25622"/>
    <w:rsid w:val="00D25D0D"/>
    <w:rsid w:val="00D26103"/>
    <w:rsid w:val="00D30EDD"/>
    <w:rsid w:val="00D33190"/>
    <w:rsid w:val="00D3780D"/>
    <w:rsid w:val="00D42706"/>
    <w:rsid w:val="00D47224"/>
    <w:rsid w:val="00D50465"/>
    <w:rsid w:val="00D559CF"/>
    <w:rsid w:val="00D568CA"/>
    <w:rsid w:val="00D57E7C"/>
    <w:rsid w:val="00D61BC3"/>
    <w:rsid w:val="00D67A2E"/>
    <w:rsid w:val="00D726A1"/>
    <w:rsid w:val="00D76A63"/>
    <w:rsid w:val="00D76BCE"/>
    <w:rsid w:val="00D777AF"/>
    <w:rsid w:val="00D80017"/>
    <w:rsid w:val="00D84CD8"/>
    <w:rsid w:val="00D90899"/>
    <w:rsid w:val="00D93D4E"/>
    <w:rsid w:val="00D96616"/>
    <w:rsid w:val="00DA1BD8"/>
    <w:rsid w:val="00DA3788"/>
    <w:rsid w:val="00DA7199"/>
    <w:rsid w:val="00DA7254"/>
    <w:rsid w:val="00DA76F2"/>
    <w:rsid w:val="00DA7793"/>
    <w:rsid w:val="00DB1CE4"/>
    <w:rsid w:val="00DB1F8A"/>
    <w:rsid w:val="00DB2225"/>
    <w:rsid w:val="00DB2622"/>
    <w:rsid w:val="00DB31D8"/>
    <w:rsid w:val="00DB4ACD"/>
    <w:rsid w:val="00DB5F57"/>
    <w:rsid w:val="00DB6F39"/>
    <w:rsid w:val="00DC48D9"/>
    <w:rsid w:val="00DD1337"/>
    <w:rsid w:val="00DD7E14"/>
    <w:rsid w:val="00DE35C1"/>
    <w:rsid w:val="00DE4AAE"/>
    <w:rsid w:val="00DF04B6"/>
    <w:rsid w:val="00DF079F"/>
    <w:rsid w:val="00DF36C2"/>
    <w:rsid w:val="00DF3E45"/>
    <w:rsid w:val="00DF6529"/>
    <w:rsid w:val="00E0067D"/>
    <w:rsid w:val="00E11214"/>
    <w:rsid w:val="00E12138"/>
    <w:rsid w:val="00E14F05"/>
    <w:rsid w:val="00E21A95"/>
    <w:rsid w:val="00E24208"/>
    <w:rsid w:val="00E31FBE"/>
    <w:rsid w:val="00E34A89"/>
    <w:rsid w:val="00E37BC8"/>
    <w:rsid w:val="00E45A1D"/>
    <w:rsid w:val="00E5043C"/>
    <w:rsid w:val="00E6153B"/>
    <w:rsid w:val="00E61A87"/>
    <w:rsid w:val="00E62A73"/>
    <w:rsid w:val="00E63AFA"/>
    <w:rsid w:val="00E66EEB"/>
    <w:rsid w:val="00E67E59"/>
    <w:rsid w:val="00E70E2D"/>
    <w:rsid w:val="00E723E6"/>
    <w:rsid w:val="00E74057"/>
    <w:rsid w:val="00E740FA"/>
    <w:rsid w:val="00E743FE"/>
    <w:rsid w:val="00E80365"/>
    <w:rsid w:val="00E80606"/>
    <w:rsid w:val="00E81C38"/>
    <w:rsid w:val="00E82641"/>
    <w:rsid w:val="00E90BFC"/>
    <w:rsid w:val="00E90DCE"/>
    <w:rsid w:val="00E90E9B"/>
    <w:rsid w:val="00E9439C"/>
    <w:rsid w:val="00E9462B"/>
    <w:rsid w:val="00EA1562"/>
    <w:rsid w:val="00EA2580"/>
    <w:rsid w:val="00EA4779"/>
    <w:rsid w:val="00EA541F"/>
    <w:rsid w:val="00EA5D1F"/>
    <w:rsid w:val="00EA644B"/>
    <w:rsid w:val="00EB42EE"/>
    <w:rsid w:val="00EB4772"/>
    <w:rsid w:val="00EC4A0E"/>
    <w:rsid w:val="00ED1D76"/>
    <w:rsid w:val="00ED2E1A"/>
    <w:rsid w:val="00ED63B3"/>
    <w:rsid w:val="00ED7401"/>
    <w:rsid w:val="00EE39E5"/>
    <w:rsid w:val="00EE4F9A"/>
    <w:rsid w:val="00EE5563"/>
    <w:rsid w:val="00F11492"/>
    <w:rsid w:val="00F235AB"/>
    <w:rsid w:val="00F23B5E"/>
    <w:rsid w:val="00F24A09"/>
    <w:rsid w:val="00F2572D"/>
    <w:rsid w:val="00F31554"/>
    <w:rsid w:val="00F32198"/>
    <w:rsid w:val="00F36B9A"/>
    <w:rsid w:val="00F4464C"/>
    <w:rsid w:val="00F51384"/>
    <w:rsid w:val="00F5240A"/>
    <w:rsid w:val="00F52FF3"/>
    <w:rsid w:val="00F67067"/>
    <w:rsid w:val="00F70827"/>
    <w:rsid w:val="00F71913"/>
    <w:rsid w:val="00F72FE6"/>
    <w:rsid w:val="00F75983"/>
    <w:rsid w:val="00F803F2"/>
    <w:rsid w:val="00F8218F"/>
    <w:rsid w:val="00F84E35"/>
    <w:rsid w:val="00F8535A"/>
    <w:rsid w:val="00F921CB"/>
    <w:rsid w:val="00F95D32"/>
    <w:rsid w:val="00F9742F"/>
    <w:rsid w:val="00FA3C74"/>
    <w:rsid w:val="00FA429A"/>
    <w:rsid w:val="00FA6481"/>
    <w:rsid w:val="00FA798D"/>
    <w:rsid w:val="00FB392E"/>
    <w:rsid w:val="00FB4F81"/>
    <w:rsid w:val="00FC3640"/>
    <w:rsid w:val="00FC38E7"/>
    <w:rsid w:val="00FD0E21"/>
    <w:rsid w:val="00FD1ADE"/>
    <w:rsid w:val="00FD76A7"/>
    <w:rsid w:val="00FE1AAB"/>
    <w:rsid w:val="00FE3040"/>
    <w:rsid w:val="00FE77BC"/>
    <w:rsid w:val="00FF3564"/>
    <w:rsid w:val="00FF55EB"/>
    <w:rsid w:val="00FF7A93"/>
    <w:rsid w:val="015E0632"/>
    <w:rsid w:val="07F817E1"/>
    <w:rsid w:val="0D592010"/>
    <w:rsid w:val="20DF4E94"/>
    <w:rsid w:val="2A7228D5"/>
    <w:rsid w:val="341F16B7"/>
    <w:rsid w:val="3F780536"/>
    <w:rsid w:val="442A7828"/>
    <w:rsid w:val="46CE4EF9"/>
    <w:rsid w:val="4FC1669B"/>
    <w:rsid w:val="5CE46E42"/>
    <w:rsid w:val="642439FF"/>
    <w:rsid w:val="70B66B1A"/>
    <w:rsid w:val="728C1627"/>
    <w:rsid w:val="77D665F6"/>
    <w:rsid w:val="7EB9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line="240" w:lineRule="atLeast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line="415" w:lineRule="auto"/>
      <w:outlineLvl w:val="1"/>
    </w:pPr>
    <w:rPr>
      <w:rFonts w:asciiTheme="majorHAnsi" w:hAnsiTheme="majorHAnsi" w:eastAsiaTheme="majorEastAsia" w:cstheme="majorBidi"/>
      <w:b/>
      <w:bCs/>
      <w:sz w:val="24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paragraph" w:styleId="5">
    <w:name w:val="heading 9"/>
    <w:basedOn w:val="1"/>
    <w:next w:val="1"/>
    <w:link w:val="29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6"/>
    <w:semiHidden/>
    <w:unhideWhenUsed/>
    <w:qFormat/>
    <w:uiPriority w:val="99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19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6">
    <w:name w:val="FollowedHyperlink"/>
    <w:basedOn w:val="15"/>
    <w:semiHidden/>
    <w:unhideWhenUsed/>
    <w:qFormat/>
    <w:uiPriority w:val="99"/>
    <w:rPr>
      <w:color w:val="954F72" w:themeColor="followedHyperlink"/>
      <w:u w:val="single"/>
    </w:rPr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character" w:customStyle="1" w:styleId="18">
    <w:name w:val="页脚 字符"/>
    <w:basedOn w:val="15"/>
    <w:link w:val="10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19">
    <w:name w:val="页眉 字符"/>
    <w:basedOn w:val="15"/>
    <w:link w:val="11"/>
    <w:semiHidden/>
    <w:qFormat/>
    <w:uiPriority w:val="0"/>
    <w:rPr>
      <w:rFonts w:ascii="Times New Roman" w:hAnsi="Times New Roman" w:eastAsia="宋体" w:cs="Times New Roman"/>
      <w:sz w:val="18"/>
      <w:szCs w:val="20"/>
    </w:rPr>
  </w:style>
  <w:style w:type="paragraph" w:customStyle="1" w:styleId="20">
    <w:name w:val="封面落款"/>
    <w:basedOn w:val="1"/>
    <w:qFormat/>
    <w:uiPriority w:val="0"/>
    <w:pPr>
      <w:spacing w:line="360" w:lineRule="auto"/>
      <w:jc w:val="center"/>
    </w:pPr>
    <w:rPr>
      <w:rFonts w:ascii="Arial" w:hAnsi="Arial" w:eastAsia="黑体"/>
      <w:sz w:val="32"/>
      <w:szCs w:val="24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标题 1 字符"/>
    <w:basedOn w:val="15"/>
    <w:link w:val="2"/>
    <w:qFormat/>
    <w:uiPriority w:val="9"/>
    <w:rPr>
      <w:rFonts w:ascii="Times New Roman" w:hAnsi="Times New Roman" w:eastAsia="宋体" w:cs="Times New Roman"/>
      <w:b/>
      <w:bCs/>
      <w:kern w:val="44"/>
      <w:sz w:val="28"/>
      <w:szCs w:val="44"/>
    </w:rPr>
  </w:style>
  <w:style w:type="character" w:customStyle="1" w:styleId="23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24"/>
      <w:szCs w:val="32"/>
    </w:rPr>
  </w:style>
  <w:style w:type="character" w:customStyle="1" w:styleId="24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szCs w:val="32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6">
    <w:name w:val="文档结构图 字符"/>
    <w:basedOn w:val="15"/>
    <w:link w:val="6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批注框文本 字符"/>
    <w:basedOn w:val="15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日期 字符"/>
    <w:basedOn w:val="15"/>
    <w:link w:val="8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9">
    <w:name w:val="标题 9 字符"/>
    <w:basedOn w:val="15"/>
    <w:link w:val="5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styleId="30">
    <w:name w:val="Placeholder Text"/>
    <w:basedOn w:val="15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D8712-3458-422B-9384-9F2D0905B0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16</Pages>
  <Words>1465</Words>
  <Characters>1619</Characters>
  <Lines>23</Lines>
  <Paragraphs>6</Paragraphs>
  <TotalTime>0</TotalTime>
  <ScaleCrop>false</ScaleCrop>
  <LinksUpToDate>false</LinksUpToDate>
  <CharactersWithSpaces>1696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2019-12-25T09:04:00Z</dcterms:created>
  <dc:creator>Administrator</dc:creator>
  <cp:lastModifiedBy>Sino</cp:lastModifiedBy>
  <dcterms:modified xsi:type="dcterms:W3CDTF">2023-01-05T02:43:02Z</dcterms:modified>
  <cp:revision>761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03EC3F6873F34F7EB0939D58F3D104B2</vt:lpwstr>
  </property>
</Properties>
</file>